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2A40A" w14:textId="1FFBF4BE" w:rsidR="000243CF" w:rsidRDefault="000243CF">
      <w:pPr>
        <w:rPr>
          <w:rFonts w:asciiTheme="minorHAnsi" w:eastAsiaTheme="minorEastAsia" w:hAnsiTheme="minorHAnsi" w:cstheme="minorBidi"/>
          <w:sz w:val="26"/>
          <w:szCs w:val="22"/>
        </w:rPr>
      </w:pPr>
    </w:p>
    <w:p w14:paraId="43E97546" w14:textId="77777777" w:rsidR="000243CF" w:rsidRPr="00250628" w:rsidRDefault="000243CF" w:rsidP="000243CF">
      <w:pPr>
        <w:jc w:val="center"/>
        <w:rPr>
          <w:b/>
          <w:bCs/>
        </w:rPr>
      </w:pPr>
      <w:r w:rsidRPr="00250628">
        <w:rPr>
          <w:b/>
          <w:bCs/>
        </w:rPr>
        <w:t>Good Faith Estimate (GFE) for Therapy Services</w:t>
      </w:r>
    </w:p>
    <w:p w14:paraId="6E44CAA1" w14:textId="77777777" w:rsidR="000243CF" w:rsidRPr="00250628" w:rsidRDefault="000243CF" w:rsidP="000243CF">
      <w:pPr>
        <w:jc w:val="center"/>
      </w:pPr>
    </w:p>
    <w:p w14:paraId="601E7846" w14:textId="77777777" w:rsidR="000243CF" w:rsidRPr="00250628" w:rsidRDefault="000243CF" w:rsidP="000243CF">
      <w:pPr>
        <w:jc w:val="center"/>
        <w:rPr>
          <w:sz w:val="20"/>
          <w:szCs w:val="20"/>
        </w:rPr>
      </w:pPr>
      <w:r w:rsidRPr="00250628">
        <w:rPr>
          <w:sz w:val="20"/>
          <w:szCs w:val="20"/>
        </w:rPr>
        <w:t>This Good Faith Estimate is provided in compliance with the No Surprises Act</w:t>
      </w:r>
    </w:p>
    <w:p w14:paraId="0BF903F4" w14:textId="77777777" w:rsidR="000243CF" w:rsidRPr="00250628" w:rsidRDefault="000243CF" w:rsidP="000243CF">
      <w:pPr>
        <w:rPr>
          <w:sz w:val="20"/>
          <w:szCs w:val="20"/>
        </w:rPr>
      </w:pPr>
    </w:p>
    <w:p w14:paraId="6B19580B" w14:textId="77777777" w:rsidR="000243CF" w:rsidRPr="00250628" w:rsidRDefault="000243CF" w:rsidP="000243CF">
      <w:pPr>
        <w:pStyle w:val="Default"/>
        <w:rPr>
          <w:sz w:val="20"/>
          <w:szCs w:val="20"/>
        </w:rPr>
      </w:pPr>
    </w:p>
    <w:p w14:paraId="465384DF" w14:textId="77777777" w:rsidR="000243CF" w:rsidRDefault="000243CF" w:rsidP="000243CF">
      <w:pPr>
        <w:pStyle w:val="ListParagraph"/>
        <w:numPr>
          <w:ilvl w:val="0"/>
          <w:numId w:val="13"/>
        </w:numPr>
        <w:rPr>
          <w:sz w:val="20"/>
          <w:szCs w:val="20"/>
        </w:rPr>
      </w:pPr>
      <w:r w:rsidRPr="001E580E">
        <w:rPr>
          <w:sz w:val="20"/>
          <w:szCs w:val="20"/>
        </w:rPr>
        <w:t xml:space="preserve">You have the right to receive a “Good Faith Estimate” explaining how much your medical care will cost Under the law, health care providers need to give patients who don’t have insurance or who are not using insurance an estimate of the bill for medical items and services. </w:t>
      </w:r>
    </w:p>
    <w:p w14:paraId="0D1D47FD" w14:textId="77777777" w:rsidR="000243CF" w:rsidRDefault="000243CF" w:rsidP="000243CF">
      <w:pPr>
        <w:pStyle w:val="ListParagraph"/>
        <w:ind w:left="360"/>
        <w:rPr>
          <w:sz w:val="20"/>
          <w:szCs w:val="20"/>
        </w:rPr>
      </w:pPr>
    </w:p>
    <w:p w14:paraId="375F7ABF" w14:textId="77777777" w:rsidR="000243CF" w:rsidRDefault="000243CF" w:rsidP="000243CF">
      <w:pPr>
        <w:pStyle w:val="ListParagraph"/>
        <w:numPr>
          <w:ilvl w:val="0"/>
          <w:numId w:val="13"/>
        </w:numPr>
        <w:rPr>
          <w:sz w:val="20"/>
          <w:szCs w:val="20"/>
        </w:rPr>
      </w:pPr>
      <w:r w:rsidRPr="001E580E">
        <w:rPr>
          <w:sz w:val="20"/>
          <w:szCs w:val="20"/>
        </w:rPr>
        <w:t xml:space="preserve">You have the right to receive a Good Faith Estimate for the total expected cost of any non-emergency items or services. This includes related costs like medical tests, prescription drugs, equipment, and hospital fees. </w:t>
      </w:r>
    </w:p>
    <w:p w14:paraId="64F4AFF3" w14:textId="77777777" w:rsidR="000243CF" w:rsidRPr="001E580E" w:rsidRDefault="000243CF" w:rsidP="000243CF">
      <w:pPr>
        <w:rPr>
          <w:sz w:val="20"/>
          <w:szCs w:val="20"/>
        </w:rPr>
      </w:pPr>
    </w:p>
    <w:p w14:paraId="1A0EF0D2" w14:textId="77777777" w:rsidR="000243CF" w:rsidRDefault="000243CF" w:rsidP="000243CF">
      <w:pPr>
        <w:pStyle w:val="ListParagraph"/>
        <w:numPr>
          <w:ilvl w:val="0"/>
          <w:numId w:val="13"/>
        </w:numPr>
        <w:rPr>
          <w:sz w:val="20"/>
          <w:szCs w:val="20"/>
        </w:rPr>
      </w:pPr>
      <w:r w:rsidRPr="001E580E">
        <w:rPr>
          <w:sz w:val="20"/>
          <w:szCs w:val="20"/>
        </w:rPr>
        <w:t xml:space="preserve">Make sure your health care provider gives you a Good Faith Estimate in writing at least 1 business day before your medical service or item. You can also ask your health care provider, and any other provider you choose, for a Good Faith Estimate before you schedule an item or service. </w:t>
      </w:r>
    </w:p>
    <w:p w14:paraId="4A395F36" w14:textId="77777777" w:rsidR="000243CF" w:rsidRPr="001E580E" w:rsidRDefault="000243CF" w:rsidP="000243CF">
      <w:pPr>
        <w:rPr>
          <w:sz w:val="20"/>
          <w:szCs w:val="20"/>
        </w:rPr>
      </w:pPr>
    </w:p>
    <w:p w14:paraId="160679EE" w14:textId="77777777" w:rsidR="000243CF" w:rsidRDefault="000243CF" w:rsidP="000243CF">
      <w:pPr>
        <w:pStyle w:val="ListParagraph"/>
        <w:numPr>
          <w:ilvl w:val="0"/>
          <w:numId w:val="13"/>
        </w:numPr>
        <w:rPr>
          <w:sz w:val="20"/>
          <w:szCs w:val="20"/>
        </w:rPr>
      </w:pPr>
      <w:r w:rsidRPr="001E580E">
        <w:rPr>
          <w:sz w:val="20"/>
          <w:szCs w:val="20"/>
        </w:rPr>
        <w:t xml:space="preserve">If you receive a bill that is at least $400 more than your Good Faith Estimate, you can dispute the bill. </w:t>
      </w:r>
    </w:p>
    <w:p w14:paraId="118054BD" w14:textId="77777777" w:rsidR="000243CF" w:rsidRPr="001E580E" w:rsidRDefault="000243CF" w:rsidP="000243CF">
      <w:pPr>
        <w:rPr>
          <w:sz w:val="20"/>
          <w:szCs w:val="20"/>
        </w:rPr>
      </w:pPr>
    </w:p>
    <w:p w14:paraId="033F8FC2" w14:textId="77777777" w:rsidR="000243CF" w:rsidRPr="001E580E" w:rsidRDefault="000243CF" w:rsidP="000243CF">
      <w:pPr>
        <w:pStyle w:val="ListParagraph"/>
        <w:numPr>
          <w:ilvl w:val="0"/>
          <w:numId w:val="13"/>
        </w:numPr>
        <w:rPr>
          <w:sz w:val="20"/>
          <w:szCs w:val="20"/>
        </w:rPr>
      </w:pPr>
      <w:r w:rsidRPr="001E580E">
        <w:rPr>
          <w:sz w:val="20"/>
          <w:szCs w:val="20"/>
        </w:rPr>
        <w:t>Make sure to save a copy or picture of your Good Faith Estimate. For questions or more information about your right to a Good Faith Estimate, visit www.cms.gov/nosurprises.</w:t>
      </w:r>
    </w:p>
    <w:p w14:paraId="387AC8B0" w14:textId="77777777" w:rsidR="000243CF" w:rsidRPr="00250628" w:rsidRDefault="000243CF" w:rsidP="000243CF">
      <w:pPr>
        <w:jc w:val="center"/>
      </w:pPr>
    </w:p>
    <w:p w14:paraId="5971DF28" w14:textId="77777777" w:rsidR="000243CF" w:rsidRPr="00250628" w:rsidRDefault="000243CF" w:rsidP="000243CF">
      <w:pPr>
        <w:jc w:val="center"/>
      </w:pPr>
    </w:p>
    <w:p w14:paraId="008ADC80" w14:textId="77777777" w:rsidR="000243CF" w:rsidRPr="001E580E" w:rsidRDefault="000243CF" w:rsidP="000243CF">
      <w:pPr>
        <w:rPr>
          <w:sz w:val="20"/>
          <w:szCs w:val="20"/>
        </w:rPr>
      </w:pPr>
      <w:r w:rsidRPr="001E580E">
        <w:rPr>
          <w:sz w:val="20"/>
          <w:szCs w:val="20"/>
        </w:rPr>
        <w:t>Date:</w:t>
      </w:r>
    </w:p>
    <w:p w14:paraId="6A39BB3E" w14:textId="77777777" w:rsidR="000243CF" w:rsidRPr="001E580E" w:rsidRDefault="000243CF" w:rsidP="000243CF">
      <w:pPr>
        <w:rPr>
          <w:sz w:val="20"/>
          <w:szCs w:val="20"/>
        </w:rPr>
      </w:pPr>
    </w:p>
    <w:p w14:paraId="43D121D3" w14:textId="77777777" w:rsidR="000243CF" w:rsidRPr="001E580E" w:rsidRDefault="000243CF" w:rsidP="000243CF">
      <w:pPr>
        <w:rPr>
          <w:sz w:val="20"/>
          <w:szCs w:val="20"/>
        </w:rPr>
      </w:pPr>
      <w:r w:rsidRPr="001E580E">
        <w:rPr>
          <w:sz w:val="20"/>
          <w:szCs w:val="20"/>
        </w:rPr>
        <w:t>Client:</w:t>
      </w:r>
      <w:r w:rsidRPr="001E580E">
        <w:rPr>
          <w:sz w:val="20"/>
          <w:szCs w:val="20"/>
        </w:rPr>
        <w:tab/>
      </w:r>
    </w:p>
    <w:p w14:paraId="490B7AF6" w14:textId="77777777" w:rsidR="000243CF" w:rsidRPr="001E580E" w:rsidRDefault="000243CF" w:rsidP="000243CF">
      <w:pPr>
        <w:rPr>
          <w:sz w:val="20"/>
          <w:szCs w:val="20"/>
        </w:rPr>
      </w:pPr>
      <w:r w:rsidRPr="001E580E">
        <w:rPr>
          <w:sz w:val="20"/>
          <w:szCs w:val="20"/>
        </w:rPr>
        <w:t>DOB:</w:t>
      </w:r>
    </w:p>
    <w:p w14:paraId="58790B01" w14:textId="77777777" w:rsidR="000243CF" w:rsidRPr="001E580E" w:rsidRDefault="000243CF" w:rsidP="000243CF">
      <w:pPr>
        <w:rPr>
          <w:sz w:val="20"/>
          <w:szCs w:val="20"/>
        </w:rPr>
      </w:pPr>
    </w:p>
    <w:p w14:paraId="36A804D3" w14:textId="77777777" w:rsidR="000243CF" w:rsidRPr="001E580E" w:rsidRDefault="000243CF" w:rsidP="000243CF">
      <w:pPr>
        <w:rPr>
          <w:sz w:val="20"/>
          <w:szCs w:val="20"/>
        </w:rPr>
      </w:pPr>
      <w:r w:rsidRPr="001E580E">
        <w:rPr>
          <w:sz w:val="20"/>
          <w:szCs w:val="20"/>
        </w:rPr>
        <w:t>Diagnostic Code:</w:t>
      </w:r>
    </w:p>
    <w:p w14:paraId="66CDD5DC" w14:textId="77777777" w:rsidR="000243CF" w:rsidRPr="001E580E" w:rsidRDefault="000243CF" w:rsidP="000243CF">
      <w:pPr>
        <w:rPr>
          <w:sz w:val="20"/>
          <w:szCs w:val="20"/>
        </w:rPr>
      </w:pPr>
    </w:p>
    <w:p w14:paraId="01925681" w14:textId="77777777" w:rsidR="000243CF" w:rsidRPr="001E580E" w:rsidRDefault="000243CF" w:rsidP="000243CF">
      <w:pPr>
        <w:rPr>
          <w:sz w:val="20"/>
          <w:szCs w:val="20"/>
        </w:rPr>
      </w:pPr>
      <w:r w:rsidRPr="001E580E">
        <w:rPr>
          <w:sz w:val="20"/>
          <w:szCs w:val="20"/>
        </w:rPr>
        <w:t>Estimate of 12-month cost for therapy sessions</w:t>
      </w:r>
    </w:p>
    <w:tbl>
      <w:tblPr>
        <w:tblStyle w:val="TableGrid"/>
        <w:tblW w:w="0" w:type="auto"/>
        <w:tblLook w:val="04A0" w:firstRow="1" w:lastRow="0" w:firstColumn="1" w:lastColumn="0" w:noHBand="0" w:noVBand="1"/>
      </w:tblPr>
      <w:tblGrid>
        <w:gridCol w:w="2605"/>
        <w:gridCol w:w="1089"/>
        <w:gridCol w:w="1431"/>
        <w:gridCol w:w="2381"/>
        <w:gridCol w:w="1844"/>
      </w:tblGrid>
      <w:tr w:rsidR="000243CF" w:rsidRPr="00250628" w14:paraId="2DED65FD" w14:textId="77777777" w:rsidTr="004202F8">
        <w:tc>
          <w:tcPr>
            <w:tcW w:w="2605" w:type="dxa"/>
          </w:tcPr>
          <w:p w14:paraId="660D56D2" w14:textId="77777777" w:rsidR="000243CF" w:rsidRPr="00250628" w:rsidRDefault="000243CF" w:rsidP="00685BF1">
            <w:pPr>
              <w:rPr>
                <w:sz w:val="20"/>
                <w:szCs w:val="20"/>
              </w:rPr>
            </w:pPr>
            <w:r w:rsidRPr="00250628">
              <w:rPr>
                <w:sz w:val="20"/>
                <w:szCs w:val="20"/>
              </w:rPr>
              <w:t>Service</w:t>
            </w:r>
          </w:p>
        </w:tc>
        <w:tc>
          <w:tcPr>
            <w:tcW w:w="1089" w:type="dxa"/>
          </w:tcPr>
          <w:p w14:paraId="28C8ACD4" w14:textId="77777777" w:rsidR="000243CF" w:rsidRPr="00250628" w:rsidRDefault="000243CF" w:rsidP="00685BF1">
            <w:pPr>
              <w:rPr>
                <w:sz w:val="20"/>
                <w:szCs w:val="20"/>
              </w:rPr>
            </w:pPr>
            <w:r w:rsidRPr="00250628">
              <w:rPr>
                <w:sz w:val="20"/>
                <w:szCs w:val="20"/>
              </w:rPr>
              <w:t>Frequency</w:t>
            </w:r>
          </w:p>
        </w:tc>
        <w:tc>
          <w:tcPr>
            <w:tcW w:w="1431" w:type="dxa"/>
          </w:tcPr>
          <w:p w14:paraId="359B0D98" w14:textId="77777777" w:rsidR="000243CF" w:rsidRPr="00250628" w:rsidRDefault="000243CF" w:rsidP="00685BF1">
            <w:pPr>
              <w:rPr>
                <w:sz w:val="20"/>
                <w:szCs w:val="20"/>
              </w:rPr>
            </w:pPr>
            <w:r w:rsidRPr="00250628">
              <w:rPr>
                <w:sz w:val="20"/>
                <w:szCs w:val="20"/>
              </w:rPr>
              <w:t>Total Sessions</w:t>
            </w:r>
          </w:p>
        </w:tc>
        <w:tc>
          <w:tcPr>
            <w:tcW w:w="2381" w:type="dxa"/>
          </w:tcPr>
          <w:p w14:paraId="18654C20" w14:textId="77777777" w:rsidR="000243CF" w:rsidRPr="00250628" w:rsidRDefault="000243CF" w:rsidP="00685BF1">
            <w:pPr>
              <w:rPr>
                <w:sz w:val="20"/>
                <w:szCs w:val="20"/>
              </w:rPr>
            </w:pPr>
            <w:r w:rsidRPr="00250628">
              <w:rPr>
                <w:sz w:val="20"/>
                <w:szCs w:val="20"/>
              </w:rPr>
              <w:t>Cost</w:t>
            </w:r>
          </w:p>
        </w:tc>
        <w:tc>
          <w:tcPr>
            <w:tcW w:w="1844" w:type="dxa"/>
          </w:tcPr>
          <w:p w14:paraId="01261B2E" w14:textId="77777777" w:rsidR="000243CF" w:rsidRPr="00250628" w:rsidRDefault="000243CF" w:rsidP="00685BF1">
            <w:pPr>
              <w:rPr>
                <w:sz w:val="20"/>
                <w:szCs w:val="20"/>
              </w:rPr>
            </w:pPr>
            <w:r w:rsidRPr="00250628">
              <w:rPr>
                <w:sz w:val="20"/>
                <w:szCs w:val="20"/>
              </w:rPr>
              <w:t xml:space="preserve">Total </w:t>
            </w:r>
          </w:p>
        </w:tc>
      </w:tr>
      <w:tr w:rsidR="000243CF" w:rsidRPr="00250628" w14:paraId="2FEFAC8A" w14:textId="77777777" w:rsidTr="004202F8">
        <w:tc>
          <w:tcPr>
            <w:tcW w:w="2605" w:type="dxa"/>
          </w:tcPr>
          <w:p w14:paraId="076E702F" w14:textId="77777777" w:rsidR="000243CF" w:rsidRPr="00250628" w:rsidRDefault="000243CF" w:rsidP="00685BF1">
            <w:pPr>
              <w:rPr>
                <w:sz w:val="20"/>
                <w:szCs w:val="20"/>
              </w:rPr>
            </w:pPr>
            <w:r w:rsidRPr="00250628">
              <w:rPr>
                <w:sz w:val="20"/>
                <w:szCs w:val="20"/>
              </w:rPr>
              <w:t>90791: Diagnostic Interview</w:t>
            </w:r>
          </w:p>
        </w:tc>
        <w:tc>
          <w:tcPr>
            <w:tcW w:w="1089" w:type="dxa"/>
          </w:tcPr>
          <w:p w14:paraId="32D26ED0" w14:textId="77777777" w:rsidR="000243CF" w:rsidRPr="00250628" w:rsidRDefault="000243CF" w:rsidP="00685BF1">
            <w:pPr>
              <w:rPr>
                <w:sz w:val="20"/>
                <w:szCs w:val="20"/>
              </w:rPr>
            </w:pPr>
          </w:p>
        </w:tc>
        <w:tc>
          <w:tcPr>
            <w:tcW w:w="1431" w:type="dxa"/>
          </w:tcPr>
          <w:p w14:paraId="4DF1F871" w14:textId="77777777" w:rsidR="000243CF" w:rsidRPr="00250628" w:rsidRDefault="000243CF" w:rsidP="00685BF1">
            <w:pPr>
              <w:rPr>
                <w:sz w:val="20"/>
                <w:szCs w:val="20"/>
              </w:rPr>
            </w:pPr>
            <w:r w:rsidRPr="00250628">
              <w:rPr>
                <w:sz w:val="20"/>
                <w:szCs w:val="20"/>
              </w:rPr>
              <w:t>1</w:t>
            </w:r>
          </w:p>
        </w:tc>
        <w:tc>
          <w:tcPr>
            <w:tcW w:w="2381" w:type="dxa"/>
          </w:tcPr>
          <w:p w14:paraId="56D4E532" w14:textId="77777777" w:rsidR="000243CF" w:rsidRPr="00250628" w:rsidRDefault="000243CF" w:rsidP="00685BF1">
            <w:pPr>
              <w:rPr>
                <w:sz w:val="20"/>
                <w:szCs w:val="20"/>
              </w:rPr>
            </w:pPr>
            <w:r w:rsidRPr="00250628">
              <w:rPr>
                <w:sz w:val="20"/>
                <w:szCs w:val="20"/>
              </w:rPr>
              <w:t>$200</w:t>
            </w:r>
          </w:p>
        </w:tc>
        <w:tc>
          <w:tcPr>
            <w:tcW w:w="1844" w:type="dxa"/>
          </w:tcPr>
          <w:p w14:paraId="4069A51A" w14:textId="77777777" w:rsidR="000243CF" w:rsidRPr="00250628" w:rsidRDefault="000243CF" w:rsidP="00685BF1">
            <w:pPr>
              <w:rPr>
                <w:sz w:val="20"/>
                <w:szCs w:val="20"/>
              </w:rPr>
            </w:pPr>
          </w:p>
        </w:tc>
      </w:tr>
      <w:tr w:rsidR="000243CF" w:rsidRPr="00250628" w14:paraId="515607A7" w14:textId="77777777" w:rsidTr="004202F8">
        <w:tc>
          <w:tcPr>
            <w:tcW w:w="2605" w:type="dxa"/>
          </w:tcPr>
          <w:p w14:paraId="18BAF8A9" w14:textId="5C09DD68" w:rsidR="000243CF" w:rsidRPr="00250628" w:rsidRDefault="000243CF" w:rsidP="00685BF1">
            <w:pPr>
              <w:rPr>
                <w:sz w:val="20"/>
                <w:szCs w:val="20"/>
              </w:rPr>
            </w:pPr>
            <w:r w:rsidRPr="00250628">
              <w:rPr>
                <w:sz w:val="20"/>
                <w:szCs w:val="20"/>
              </w:rPr>
              <w:t xml:space="preserve">90837: </w:t>
            </w:r>
            <w:r w:rsidR="004202F8" w:rsidRPr="00250628">
              <w:rPr>
                <w:sz w:val="20"/>
                <w:szCs w:val="20"/>
              </w:rPr>
              <w:t>55-minute</w:t>
            </w:r>
            <w:r w:rsidRPr="00250628">
              <w:rPr>
                <w:sz w:val="20"/>
                <w:szCs w:val="20"/>
              </w:rPr>
              <w:t xml:space="preserve"> Session</w:t>
            </w:r>
          </w:p>
        </w:tc>
        <w:tc>
          <w:tcPr>
            <w:tcW w:w="1089" w:type="dxa"/>
          </w:tcPr>
          <w:p w14:paraId="57E22CA8" w14:textId="77777777" w:rsidR="000243CF" w:rsidRPr="00250628" w:rsidRDefault="000243CF" w:rsidP="00685BF1">
            <w:pPr>
              <w:rPr>
                <w:sz w:val="20"/>
                <w:szCs w:val="20"/>
              </w:rPr>
            </w:pPr>
          </w:p>
        </w:tc>
        <w:tc>
          <w:tcPr>
            <w:tcW w:w="1431" w:type="dxa"/>
          </w:tcPr>
          <w:p w14:paraId="1AD80AE4" w14:textId="77777777" w:rsidR="000243CF" w:rsidRPr="00250628" w:rsidRDefault="000243CF" w:rsidP="00685BF1">
            <w:pPr>
              <w:rPr>
                <w:sz w:val="20"/>
                <w:szCs w:val="20"/>
              </w:rPr>
            </w:pPr>
          </w:p>
        </w:tc>
        <w:tc>
          <w:tcPr>
            <w:tcW w:w="2381" w:type="dxa"/>
          </w:tcPr>
          <w:p w14:paraId="6D2688D8" w14:textId="77777777" w:rsidR="000243CF" w:rsidRPr="00250628" w:rsidRDefault="000243CF" w:rsidP="00685BF1">
            <w:pPr>
              <w:rPr>
                <w:sz w:val="20"/>
                <w:szCs w:val="20"/>
              </w:rPr>
            </w:pPr>
            <w:r w:rsidRPr="00250628">
              <w:rPr>
                <w:sz w:val="20"/>
                <w:szCs w:val="20"/>
              </w:rPr>
              <w:t>$150</w:t>
            </w:r>
          </w:p>
        </w:tc>
        <w:tc>
          <w:tcPr>
            <w:tcW w:w="1844" w:type="dxa"/>
          </w:tcPr>
          <w:p w14:paraId="7A5CB343" w14:textId="77777777" w:rsidR="000243CF" w:rsidRPr="00250628" w:rsidRDefault="000243CF" w:rsidP="00685BF1">
            <w:pPr>
              <w:rPr>
                <w:sz w:val="20"/>
                <w:szCs w:val="20"/>
              </w:rPr>
            </w:pPr>
          </w:p>
        </w:tc>
      </w:tr>
      <w:tr w:rsidR="000243CF" w:rsidRPr="00250628" w14:paraId="44FE7DBE" w14:textId="77777777" w:rsidTr="004202F8">
        <w:tc>
          <w:tcPr>
            <w:tcW w:w="2605" w:type="dxa"/>
          </w:tcPr>
          <w:p w14:paraId="6C706450" w14:textId="1CB7D37A" w:rsidR="000243CF" w:rsidRPr="00250628" w:rsidRDefault="004202F8" w:rsidP="00685BF1">
            <w:pPr>
              <w:rPr>
                <w:sz w:val="20"/>
                <w:szCs w:val="20"/>
              </w:rPr>
            </w:pPr>
            <w:r w:rsidRPr="00250628">
              <w:rPr>
                <w:sz w:val="20"/>
                <w:szCs w:val="20"/>
              </w:rPr>
              <w:t>85-minute</w:t>
            </w:r>
            <w:r w:rsidR="000243CF" w:rsidRPr="00250628">
              <w:rPr>
                <w:sz w:val="20"/>
                <w:szCs w:val="20"/>
              </w:rPr>
              <w:t xml:space="preserve"> Session</w:t>
            </w:r>
          </w:p>
        </w:tc>
        <w:tc>
          <w:tcPr>
            <w:tcW w:w="1089" w:type="dxa"/>
          </w:tcPr>
          <w:p w14:paraId="2EC53851" w14:textId="77777777" w:rsidR="000243CF" w:rsidRPr="00250628" w:rsidRDefault="000243CF" w:rsidP="00685BF1">
            <w:pPr>
              <w:rPr>
                <w:sz w:val="20"/>
                <w:szCs w:val="20"/>
              </w:rPr>
            </w:pPr>
          </w:p>
        </w:tc>
        <w:tc>
          <w:tcPr>
            <w:tcW w:w="1431" w:type="dxa"/>
          </w:tcPr>
          <w:p w14:paraId="5F0E3A97" w14:textId="77777777" w:rsidR="000243CF" w:rsidRPr="00250628" w:rsidRDefault="000243CF" w:rsidP="00685BF1">
            <w:pPr>
              <w:rPr>
                <w:sz w:val="20"/>
                <w:szCs w:val="20"/>
              </w:rPr>
            </w:pPr>
          </w:p>
        </w:tc>
        <w:tc>
          <w:tcPr>
            <w:tcW w:w="2381" w:type="dxa"/>
          </w:tcPr>
          <w:p w14:paraId="3FEA916A" w14:textId="77777777" w:rsidR="000243CF" w:rsidRPr="00250628" w:rsidRDefault="000243CF" w:rsidP="00685BF1">
            <w:pPr>
              <w:rPr>
                <w:sz w:val="20"/>
                <w:szCs w:val="20"/>
              </w:rPr>
            </w:pPr>
            <w:r w:rsidRPr="00250628">
              <w:rPr>
                <w:sz w:val="20"/>
                <w:szCs w:val="20"/>
              </w:rPr>
              <w:t>$225</w:t>
            </w:r>
          </w:p>
        </w:tc>
        <w:tc>
          <w:tcPr>
            <w:tcW w:w="1844" w:type="dxa"/>
          </w:tcPr>
          <w:p w14:paraId="24D97231" w14:textId="77777777" w:rsidR="000243CF" w:rsidRPr="00250628" w:rsidRDefault="000243CF" w:rsidP="00685BF1">
            <w:pPr>
              <w:rPr>
                <w:sz w:val="20"/>
                <w:szCs w:val="20"/>
              </w:rPr>
            </w:pPr>
          </w:p>
        </w:tc>
      </w:tr>
      <w:tr w:rsidR="000243CF" w:rsidRPr="00250628" w14:paraId="72E3E7CC" w14:textId="77777777" w:rsidTr="004202F8">
        <w:tc>
          <w:tcPr>
            <w:tcW w:w="2605" w:type="dxa"/>
          </w:tcPr>
          <w:p w14:paraId="722AC7D9" w14:textId="77777777" w:rsidR="000243CF" w:rsidRPr="00250628" w:rsidRDefault="000243CF" w:rsidP="00685BF1">
            <w:pPr>
              <w:rPr>
                <w:sz w:val="20"/>
                <w:szCs w:val="20"/>
              </w:rPr>
            </w:pPr>
          </w:p>
        </w:tc>
        <w:tc>
          <w:tcPr>
            <w:tcW w:w="1089" w:type="dxa"/>
          </w:tcPr>
          <w:p w14:paraId="6E41CA43" w14:textId="77777777" w:rsidR="000243CF" w:rsidRPr="00250628" w:rsidRDefault="000243CF" w:rsidP="00685BF1">
            <w:pPr>
              <w:rPr>
                <w:sz w:val="20"/>
                <w:szCs w:val="20"/>
              </w:rPr>
            </w:pPr>
          </w:p>
        </w:tc>
        <w:tc>
          <w:tcPr>
            <w:tcW w:w="1431" w:type="dxa"/>
          </w:tcPr>
          <w:p w14:paraId="6CF9650C" w14:textId="77777777" w:rsidR="000243CF" w:rsidRPr="00250628" w:rsidRDefault="000243CF" w:rsidP="00685BF1">
            <w:pPr>
              <w:rPr>
                <w:sz w:val="20"/>
                <w:szCs w:val="20"/>
              </w:rPr>
            </w:pPr>
          </w:p>
        </w:tc>
        <w:tc>
          <w:tcPr>
            <w:tcW w:w="2381" w:type="dxa"/>
          </w:tcPr>
          <w:p w14:paraId="36A66F2D" w14:textId="77777777" w:rsidR="000243CF" w:rsidRPr="00250628" w:rsidRDefault="000243CF" w:rsidP="00685BF1">
            <w:pPr>
              <w:rPr>
                <w:b/>
                <w:bCs/>
                <w:sz w:val="20"/>
                <w:szCs w:val="20"/>
              </w:rPr>
            </w:pPr>
            <w:r w:rsidRPr="00250628">
              <w:rPr>
                <w:b/>
                <w:bCs/>
                <w:sz w:val="20"/>
                <w:szCs w:val="20"/>
              </w:rPr>
              <w:t>Total Estimated Costs</w:t>
            </w:r>
          </w:p>
        </w:tc>
        <w:tc>
          <w:tcPr>
            <w:tcW w:w="1844" w:type="dxa"/>
          </w:tcPr>
          <w:p w14:paraId="2A03E7E4" w14:textId="77777777" w:rsidR="000243CF" w:rsidRPr="00250628" w:rsidRDefault="000243CF" w:rsidP="00685BF1">
            <w:pPr>
              <w:rPr>
                <w:b/>
                <w:bCs/>
                <w:sz w:val="20"/>
                <w:szCs w:val="20"/>
              </w:rPr>
            </w:pPr>
          </w:p>
        </w:tc>
      </w:tr>
    </w:tbl>
    <w:p w14:paraId="2C407260" w14:textId="77777777" w:rsidR="000243CF" w:rsidRPr="00250628" w:rsidRDefault="000243CF" w:rsidP="000243CF"/>
    <w:p w14:paraId="3F708AB1" w14:textId="4CF7B631" w:rsidR="000243CF" w:rsidRPr="001E580E" w:rsidRDefault="000243CF" w:rsidP="000243CF">
      <w:pPr>
        <w:rPr>
          <w:sz w:val="20"/>
          <w:szCs w:val="20"/>
        </w:rPr>
      </w:pPr>
      <w:r w:rsidRPr="001E580E">
        <w:rPr>
          <w:sz w:val="20"/>
          <w:szCs w:val="20"/>
        </w:rPr>
        <w:t>The above is an annual estimate of your costs based on the frequency of sessions you participated in 2021and/or the discussed frequency of sessions. Your out-of-pocket expense may be offset by using your out-of-network benefits</w:t>
      </w:r>
      <w:r w:rsidR="004202F8">
        <w:rPr>
          <w:sz w:val="20"/>
          <w:szCs w:val="20"/>
        </w:rPr>
        <w:t>, or HSA/FSA</w:t>
      </w:r>
      <w:r w:rsidRPr="001E580E">
        <w:rPr>
          <w:sz w:val="20"/>
          <w:szCs w:val="20"/>
        </w:rPr>
        <w:t>. The above listed costs may be impacted if you increase or decrease the number of sessions or the type of session you request. Any significant changes to this estimate will generate an updated GFE.</w:t>
      </w:r>
    </w:p>
    <w:p w14:paraId="1FE8E016" w14:textId="77777777" w:rsidR="000243CF" w:rsidRPr="008E038C" w:rsidRDefault="000243CF">
      <w:pPr>
        <w:rPr>
          <w:rFonts w:asciiTheme="minorHAnsi" w:eastAsiaTheme="minorEastAsia" w:hAnsiTheme="minorHAnsi" w:cstheme="minorBidi"/>
          <w:sz w:val="26"/>
          <w:szCs w:val="22"/>
        </w:rPr>
      </w:pPr>
    </w:p>
    <w:sectPr w:rsidR="000243CF" w:rsidRPr="008E038C" w:rsidSect="004202F8">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00F86" w14:textId="77777777" w:rsidR="002024E0" w:rsidRDefault="002024E0">
      <w:r>
        <w:separator/>
      </w:r>
    </w:p>
  </w:endnote>
  <w:endnote w:type="continuationSeparator" w:id="0">
    <w:p w14:paraId="37849885" w14:textId="77777777" w:rsidR="002024E0" w:rsidRDefault="0020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skerville Old Face">
    <w:panose1 w:val="020206020805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4D"/>
    <w:family w:val="roman"/>
    <w:pitch w:val="variable"/>
    <w:sig w:usb0="00000003" w:usb1="00000000" w:usb2="00000000" w:usb3="00000000" w:csb0="00000001"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6FDD" w14:textId="77777777" w:rsidR="00311A04" w:rsidRDefault="002024E0">
    <w:pPr>
      <w:pStyle w:val="Footer"/>
    </w:pPr>
    <w:r>
      <w:fldChar w:fldCharType="begin"/>
    </w:r>
    <w:r>
      <w:instrText xml:space="preserve"> Page </w:instrText>
    </w:r>
    <w:r>
      <w:fldChar w:fldCharType="separate"/>
    </w:r>
    <w:r w:rsidR="008E038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8C4A3" w14:textId="38AEE785" w:rsidR="00311A04" w:rsidRPr="00AD1C0D" w:rsidRDefault="00311A04" w:rsidP="004202F8">
    <w:pPr>
      <w:pStyle w:val="ContactDetails"/>
      <w:jc w:val="center"/>
      <w:rPr>
        <w:rFonts w:ascii="Footlight MT Light" w:hAnsi="Footlight MT Light"/>
      </w:rPr>
    </w:pPr>
    <w:r w:rsidRPr="00AD1C0D">
      <w:rPr>
        <w:rFonts w:ascii="Footlight MT Light" w:hAnsi="Footlight MT Light"/>
      </w:rPr>
      <w:t>348 Prior Avenue North</w:t>
    </w:r>
    <w:r w:rsidR="004202F8">
      <w:rPr>
        <w:rFonts w:ascii="Footlight MT Light" w:hAnsi="Footlight MT Light"/>
      </w:rPr>
      <w:t>,</w:t>
    </w:r>
    <w:r>
      <w:rPr>
        <w:rFonts w:ascii="Footlight MT Light" w:hAnsi="Footlight MT Light"/>
      </w:rPr>
      <w:t xml:space="preserve"> Ste. 102</w:t>
    </w:r>
    <w:r w:rsidRPr="00AD1C0D">
      <w:rPr>
        <w:rFonts w:ascii="Footlight MT Light" w:hAnsi="Footlight MT Light"/>
      </w:rPr>
      <w:sym w:font="Wingdings 2" w:char="F097"/>
    </w:r>
    <w:r w:rsidRPr="00AD1C0D">
      <w:rPr>
        <w:rFonts w:ascii="Footlight MT Light" w:hAnsi="Footlight MT Light"/>
      </w:rPr>
      <w:t xml:space="preserve"> St. Paul, MN 55104</w:t>
    </w:r>
    <w:r w:rsidRPr="00AD1C0D">
      <w:rPr>
        <w:rFonts w:ascii="Footlight MT Light" w:hAnsi="Footlight MT Light"/>
      </w:rPr>
      <w:sym w:font="Wingdings 2" w:char="F097"/>
    </w:r>
    <w:r>
      <w:rPr>
        <w:rFonts w:ascii="Footlight MT Light" w:hAnsi="Footlight MT Light"/>
      </w:rPr>
      <w:t xml:space="preserve"> Phone: 612-715-0754 </w:t>
    </w:r>
    <w:r w:rsidRPr="00AD1C0D">
      <w:rPr>
        <w:rFonts w:ascii="Footlight MT Light" w:hAnsi="Footlight MT Light"/>
      </w:rPr>
      <w:t>E-Mail:</w:t>
    </w:r>
    <w:r>
      <w:rPr>
        <w:rFonts w:ascii="Footlight MT Light" w:hAnsi="Footlight MT Light"/>
      </w:rPr>
      <w:t xml:space="preserve"> </w:t>
    </w:r>
    <w:r w:rsidR="000243CF">
      <w:rPr>
        <w:rFonts w:ascii="Footlight MT Light" w:hAnsi="Footlight MT Light"/>
      </w:rPr>
      <w:t>Info@Twinflowerpsych.com</w:t>
    </w:r>
  </w:p>
  <w:p w14:paraId="5D5C6B8B" w14:textId="77777777" w:rsidR="00311A04" w:rsidRDefault="00311A04" w:rsidP="00847DA3">
    <w:pPr>
      <w:pStyle w:val="Footer"/>
      <w:tabs>
        <w:tab w:val="left" w:pos="1620"/>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2A8D1" w14:textId="77777777" w:rsidR="002024E0" w:rsidRDefault="002024E0">
      <w:r>
        <w:separator/>
      </w:r>
    </w:p>
  </w:footnote>
  <w:footnote w:type="continuationSeparator" w:id="0">
    <w:p w14:paraId="319E434B" w14:textId="77777777" w:rsidR="002024E0" w:rsidRDefault="00202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6326" w14:textId="77777777" w:rsidR="00311A04" w:rsidRPr="00AD1C0D" w:rsidRDefault="000243CF" w:rsidP="004202F8">
    <w:pPr>
      <w:pStyle w:val="ContactDetails"/>
      <w:jc w:val="both"/>
      <w:rPr>
        <w:rFonts w:ascii="Footlight MT Light" w:hAnsi="Footlight MT Light"/>
      </w:rPr>
    </w:pPr>
    <w:r>
      <w:rPr>
        <w:rFonts w:ascii="Footlight MT Light" w:hAnsi="Footlight MT Light"/>
        <w:noProof/>
      </w:rPr>
      <mc:AlternateContent>
        <mc:Choice Requires="wps">
          <w:drawing>
            <wp:anchor distT="0" distB="0" distL="114300" distR="114300" simplePos="0" relativeHeight="251660288" behindDoc="0" locked="0" layoutInCell="1" allowOverlap="1" wp14:anchorId="52F3B8E6" wp14:editId="7112889E">
              <wp:simplePos x="0" y="0"/>
              <wp:positionH relativeFrom="column">
                <wp:posOffset>466725</wp:posOffset>
              </wp:positionH>
              <wp:positionV relativeFrom="paragraph">
                <wp:posOffset>89535</wp:posOffset>
              </wp:positionV>
              <wp:extent cx="4358005" cy="371475"/>
              <wp:effectExtent l="0" t="0" r="0" b="0"/>
              <wp:wrapTight wrapText="bothSides">
                <wp:wrapPolygon edited="0">
                  <wp:start x="315" y="3692"/>
                  <wp:lineTo x="315" y="16985"/>
                  <wp:lineTo x="21213" y="16985"/>
                  <wp:lineTo x="21213" y="3692"/>
                  <wp:lineTo x="315" y="3692"/>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800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5A458" w14:textId="77777777" w:rsidR="00311A04" w:rsidRPr="004202F8" w:rsidRDefault="00311A04" w:rsidP="004202F8">
                          <w:pPr>
                            <w:rPr>
                              <w:b/>
                              <w:sz w:val="32"/>
                              <w:szCs w:val="32"/>
                              <w:u w:val="single"/>
                            </w:rPr>
                          </w:pPr>
                          <w:r w:rsidRPr="004202F8">
                            <w:rPr>
                              <w:rFonts w:ascii="Footlight MT Light" w:hAnsi="Footlight MT Light"/>
                              <w:b/>
                              <w:sz w:val="32"/>
                              <w:szCs w:val="32"/>
                              <w:u w:val="single"/>
                            </w:rPr>
                            <w:t>Twinflower</w:t>
                          </w:r>
                          <w:r w:rsidRPr="004202F8">
                            <w:rPr>
                              <w:rFonts w:ascii="Footlight MT Light" w:hAnsi="Footlight MT Light"/>
                              <w:b/>
                              <w:color w:val="7947C6" w:themeColor="accent3" w:themeTint="99"/>
                              <w:sz w:val="32"/>
                              <w:szCs w:val="32"/>
                              <w:u w:val="single"/>
                            </w:rPr>
                            <w:t xml:space="preserve"> </w:t>
                          </w:r>
                          <w:r w:rsidRPr="004202F8">
                            <w:rPr>
                              <w:rFonts w:ascii="Footlight MT Light" w:hAnsi="Footlight MT Light"/>
                              <w:b/>
                              <w:sz w:val="32"/>
                              <w:szCs w:val="32"/>
                              <w:u w:val="single"/>
                            </w:rPr>
                            <w:t xml:space="preserve">Psychological Services, </w:t>
                          </w:r>
                          <w:proofErr w:type="spellStart"/>
                          <w:r w:rsidRPr="004202F8">
                            <w:rPr>
                              <w:rFonts w:ascii="Footlight MT Light" w:hAnsi="Footlight MT Light"/>
                              <w:b/>
                              <w:sz w:val="32"/>
                              <w:szCs w:val="32"/>
                              <w:u w:val="single"/>
                            </w:rPr>
                            <w:t>llc</w:t>
                          </w:r>
                          <w:proofErr w:type="spellEnd"/>
                        </w:p>
                        <w:p w14:paraId="620E921E" w14:textId="77777777" w:rsidR="00311A04" w:rsidRDefault="00311A04" w:rsidP="004202F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3B8E6" id="_x0000_t202" coordsize="21600,21600" o:spt="202" path="m,l,21600r21600,l21600,xe">
              <v:stroke joinstyle="miter"/>
              <v:path gradientshapeok="t" o:connecttype="rect"/>
            </v:shapetype>
            <v:shape id="Text Box 10" o:spid="_x0000_s1026" type="#_x0000_t202" style="position:absolute;left:0;text-align:left;margin-left:36.75pt;margin-top:7.05pt;width:343.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" filled="f" stroked="f">
              <v:path arrowok="t"/>
              <v:textbox inset=",7.2pt,,7.2pt">
                <w:txbxContent>
                  <w:p w14:paraId="1FD5A458" w14:textId="77777777" w:rsidR="00311A04" w:rsidRPr="004202F8" w:rsidRDefault="00311A04" w:rsidP="004202F8">
                    <w:pPr>
                      <w:rPr>
                        <w:b/>
                        <w:sz w:val="32"/>
                        <w:szCs w:val="32"/>
                        <w:u w:val="single"/>
                      </w:rPr>
                    </w:pPr>
                    <w:r w:rsidRPr="004202F8">
                      <w:rPr>
                        <w:rFonts w:ascii="Footlight MT Light" w:hAnsi="Footlight MT Light"/>
                        <w:b/>
                        <w:sz w:val="32"/>
                        <w:szCs w:val="32"/>
                        <w:u w:val="single"/>
                      </w:rPr>
                      <w:t>Twinflower</w:t>
                    </w:r>
                    <w:r w:rsidRPr="004202F8">
                      <w:rPr>
                        <w:rFonts w:ascii="Footlight MT Light" w:hAnsi="Footlight MT Light"/>
                        <w:b/>
                        <w:color w:val="7947C6" w:themeColor="accent3" w:themeTint="99"/>
                        <w:sz w:val="32"/>
                        <w:szCs w:val="32"/>
                        <w:u w:val="single"/>
                      </w:rPr>
                      <w:t xml:space="preserve"> </w:t>
                    </w:r>
                    <w:r w:rsidRPr="004202F8">
                      <w:rPr>
                        <w:rFonts w:ascii="Footlight MT Light" w:hAnsi="Footlight MT Light"/>
                        <w:b/>
                        <w:sz w:val="32"/>
                        <w:szCs w:val="32"/>
                        <w:u w:val="single"/>
                      </w:rPr>
                      <w:t xml:space="preserve">Psychological Services, </w:t>
                    </w:r>
                    <w:proofErr w:type="spellStart"/>
                    <w:r w:rsidRPr="004202F8">
                      <w:rPr>
                        <w:rFonts w:ascii="Footlight MT Light" w:hAnsi="Footlight MT Light"/>
                        <w:b/>
                        <w:sz w:val="32"/>
                        <w:szCs w:val="32"/>
                        <w:u w:val="single"/>
                      </w:rPr>
                      <w:t>llc</w:t>
                    </w:r>
                    <w:proofErr w:type="spellEnd"/>
                  </w:p>
                  <w:p w14:paraId="620E921E" w14:textId="77777777" w:rsidR="00311A04" w:rsidRDefault="00311A04" w:rsidP="004202F8"/>
                </w:txbxContent>
              </v:textbox>
              <w10:wrap type="tight"/>
            </v:shape>
          </w:pict>
        </mc:Fallback>
      </mc:AlternateContent>
    </w:r>
    <w:r w:rsidR="00311A04">
      <w:rPr>
        <w:rFonts w:ascii="Footlight MT Light" w:hAnsi="Footlight MT Light"/>
        <w:noProof/>
      </w:rPr>
      <w:drawing>
        <wp:anchor distT="0" distB="0" distL="114300" distR="114300" simplePos="0" relativeHeight="251661312" behindDoc="0" locked="0" layoutInCell="1" allowOverlap="1" wp14:anchorId="5D2C0F55" wp14:editId="7E550CB6">
          <wp:simplePos x="0" y="0"/>
          <wp:positionH relativeFrom="column">
            <wp:posOffset>0</wp:posOffset>
          </wp:positionH>
          <wp:positionV relativeFrom="paragraph">
            <wp:posOffset>-45720</wp:posOffset>
          </wp:positionV>
          <wp:extent cx="457200" cy="647700"/>
          <wp:effectExtent l="25400" t="0" r="0" b="0"/>
          <wp:wrapNone/>
          <wp:docPr id="1" name="Picture 1" descr="ttp://www.treesforlife.org.uk/images/Twinflower%20close%20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treesforlife.org.uk/images/Twinflower%20close%20up.gif"/>
                  <pic:cNvPicPr>
                    <a:picLocks noChangeAspect="1" noChangeArrowheads="1"/>
                  </pic:cNvPicPr>
                </pic:nvPicPr>
                <pic:blipFill>
                  <a:blip r:embed="rId1"/>
                  <a:srcRect/>
                  <a:stretch>
                    <a:fillRect/>
                  </a:stretch>
                </pic:blipFill>
                <pic:spPr bwMode="auto">
                  <a:xfrm>
                    <a:off x="0" y="0"/>
                    <a:ext cx="457200"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72DF4"/>
    <w:multiLevelType w:val="hybridMultilevel"/>
    <w:tmpl w:val="3676B1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E396C"/>
    <w:multiLevelType w:val="hybridMultilevel"/>
    <w:tmpl w:val="691CC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4313CF"/>
    <w:multiLevelType w:val="hybridMultilevel"/>
    <w:tmpl w:val="223E24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ocumentType w:val="let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EB4277"/>
    <w:rsid w:val="000243CF"/>
    <w:rsid w:val="000770D4"/>
    <w:rsid w:val="002024E0"/>
    <w:rsid w:val="00293560"/>
    <w:rsid w:val="0030523F"/>
    <w:rsid w:val="00311A04"/>
    <w:rsid w:val="003650F9"/>
    <w:rsid w:val="004202F8"/>
    <w:rsid w:val="00430EF6"/>
    <w:rsid w:val="004E141C"/>
    <w:rsid w:val="0054544C"/>
    <w:rsid w:val="006C4905"/>
    <w:rsid w:val="00713311"/>
    <w:rsid w:val="007F061F"/>
    <w:rsid w:val="00847DA3"/>
    <w:rsid w:val="008A5BBF"/>
    <w:rsid w:val="008B0452"/>
    <w:rsid w:val="008E038C"/>
    <w:rsid w:val="00AB3CEF"/>
    <w:rsid w:val="00AD1C0D"/>
    <w:rsid w:val="00B1220D"/>
    <w:rsid w:val="00B8078B"/>
    <w:rsid w:val="00C54004"/>
    <w:rsid w:val="00C67C7B"/>
    <w:rsid w:val="00CB534C"/>
    <w:rsid w:val="00D04CED"/>
    <w:rsid w:val="00D35367"/>
    <w:rsid w:val="00EB4277"/>
    <w:rsid w:val="00FD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E3022"/>
  <w15:docId w15:val="{46D5ED89-51FB-E24D-AB2F-EAAF67D6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A3"/>
    <w:rPr>
      <w:rFonts w:ascii="Times New Roman" w:eastAsia="Times New Roman" w:hAnsi="Times New Roman" w:cs="Times New Roman"/>
      <w:sz w:val="24"/>
      <w:szCs w:val="24"/>
    </w:r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pPr>
    <w:rPr>
      <w:color w:val="405242" w:themeColor="accent1"/>
      <w:sz w:val="18"/>
      <w:szCs w:val="18"/>
    </w:rPr>
  </w:style>
  <w:style w:type="paragraph" w:customStyle="1" w:styleId="Boxes">
    <w:name w:val="Boxes"/>
    <w:basedOn w:val="Normal"/>
    <w:rsid w:val="0097557C"/>
    <w:pPr>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pPr>
    <w:rPr>
      <w:b/>
      <w:bCs/>
      <w:color w:val="405242" w:themeColor="accent1"/>
      <w:sz w:val="18"/>
      <w:szCs w:val="18"/>
    </w:rPr>
  </w:style>
  <w:style w:type="paragraph" w:styleId="Closing">
    <w:name w:val="Closing"/>
    <w:basedOn w:val="Normal"/>
    <w:link w:val="ClosingChar"/>
    <w:unhideWhenUsed/>
    <w:rsid w:val="0097557C"/>
    <w:pPr>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97557C"/>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ind w:left="220" w:hanging="220"/>
    </w:pPr>
  </w:style>
  <w:style w:type="paragraph" w:styleId="Index2">
    <w:name w:val="index 2"/>
    <w:basedOn w:val="Normal"/>
    <w:next w:val="Normal"/>
    <w:autoRedefine/>
    <w:semiHidden/>
    <w:unhideWhenUsed/>
    <w:rsid w:val="0097557C"/>
    <w:pPr>
      <w:ind w:left="440" w:hanging="220"/>
    </w:pPr>
  </w:style>
  <w:style w:type="paragraph" w:styleId="Index3">
    <w:name w:val="index 3"/>
    <w:basedOn w:val="Normal"/>
    <w:next w:val="Normal"/>
    <w:autoRedefine/>
    <w:semiHidden/>
    <w:unhideWhenUsed/>
    <w:rsid w:val="0097557C"/>
    <w:pPr>
      <w:ind w:left="660" w:hanging="220"/>
    </w:pPr>
  </w:style>
  <w:style w:type="paragraph" w:styleId="Index4">
    <w:name w:val="index 4"/>
    <w:basedOn w:val="Normal"/>
    <w:next w:val="Normal"/>
    <w:autoRedefine/>
    <w:semiHidden/>
    <w:unhideWhenUsed/>
    <w:rsid w:val="0097557C"/>
    <w:pPr>
      <w:ind w:left="880" w:hanging="220"/>
    </w:pPr>
  </w:style>
  <w:style w:type="paragraph" w:styleId="Index5">
    <w:name w:val="index 5"/>
    <w:basedOn w:val="Normal"/>
    <w:next w:val="Normal"/>
    <w:autoRedefine/>
    <w:semiHidden/>
    <w:unhideWhenUsed/>
    <w:rsid w:val="0097557C"/>
    <w:pPr>
      <w:ind w:left="1100" w:hanging="220"/>
    </w:pPr>
  </w:style>
  <w:style w:type="paragraph" w:styleId="Index6">
    <w:name w:val="index 6"/>
    <w:basedOn w:val="Normal"/>
    <w:next w:val="Normal"/>
    <w:autoRedefine/>
    <w:semiHidden/>
    <w:unhideWhenUsed/>
    <w:rsid w:val="0097557C"/>
    <w:pPr>
      <w:ind w:left="1320" w:hanging="220"/>
    </w:pPr>
  </w:style>
  <w:style w:type="paragraph" w:styleId="Index7">
    <w:name w:val="index 7"/>
    <w:basedOn w:val="Normal"/>
    <w:next w:val="Normal"/>
    <w:autoRedefine/>
    <w:semiHidden/>
    <w:unhideWhenUsed/>
    <w:rsid w:val="0097557C"/>
    <w:pPr>
      <w:ind w:left="1540" w:hanging="220"/>
    </w:pPr>
  </w:style>
  <w:style w:type="paragraph" w:styleId="Index8">
    <w:name w:val="index 8"/>
    <w:basedOn w:val="Normal"/>
    <w:next w:val="Normal"/>
    <w:autoRedefine/>
    <w:semiHidden/>
    <w:unhideWhenUsed/>
    <w:rsid w:val="0097557C"/>
    <w:pPr>
      <w:ind w:left="1760" w:hanging="220"/>
    </w:pPr>
  </w:style>
  <w:style w:type="paragraph" w:styleId="Index9">
    <w:name w:val="index 9"/>
    <w:basedOn w:val="Normal"/>
    <w:next w:val="Normal"/>
    <w:autoRedefine/>
    <w:semiHidden/>
    <w:unhideWhenUsed/>
    <w:rsid w:val="0097557C"/>
    <w:pPr>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34"/>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qFormat/>
    <w:rsid w:val="0097557C"/>
  </w:style>
  <w:style w:type="paragraph" w:styleId="NormalWeb">
    <w:name w:val="Normal (Web)"/>
    <w:basedOn w:val="Normal"/>
    <w:semiHidden/>
    <w:unhideWhenUsed/>
    <w:rsid w:val="0097557C"/>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table" w:styleId="TableGrid">
    <w:name w:val="Table Grid"/>
    <w:basedOn w:val="TableNormal"/>
    <w:uiPriority w:val="39"/>
    <w:rsid w:val="000243CF"/>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3CF"/>
    <w:pPr>
      <w:autoSpaceDE w:val="0"/>
      <w:autoSpaceDN w:val="0"/>
      <w:adjustRightInd w:val="0"/>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Formal%20Letter.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Macintosh%20HD:Applications:Microsoft%20Office%202008:Office:Media:Templates:Stationery:Formal%20Letter.dotx</Template>
  <TotalTime>6</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Swanson</dc:creator>
  <cp:keywords/>
  <dc:description/>
  <cp:lastModifiedBy>Microsoft Office User</cp:lastModifiedBy>
  <cp:revision>3</cp:revision>
  <cp:lastPrinted>2010-06-11T12:29:00Z</cp:lastPrinted>
  <dcterms:created xsi:type="dcterms:W3CDTF">2022-01-05T06:56:00Z</dcterms:created>
  <dcterms:modified xsi:type="dcterms:W3CDTF">2022-01-05T13:28:00Z</dcterms:modified>
  <cp:category/>
</cp:coreProperties>
</file>